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992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/>
      </w:tblPr>
      <w:tblGrid>
        <w:gridCol w:w="2450"/>
        <w:gridCol w:w="2478"/>
        <w:gridCol w:w="992"/>
        <w:gridCol w:w="901"/>
        <w:gridCol w:w="375"/>
        <w:gridCol w:w="369"/>
        <w:gridCol w:w="906"/>
        <w:gridCol w:w="1843"/>
        <w:gridCol w:w="1276"/>
        <w:gridCol w:w="1701"/>
        <w:gridCol w:w="1701"/>
      </w:tblGrid>
      <w:tr w:rsidR="00200877" w:rsidTr="00922A40">
        <w:trPr>
          <w:trHeight w:val="853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996" w:rsidRDefault="00645996" w:rsidP="00645996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45996">
              <w:rPr>
                <w:rFonts w:ascii="Arial" w:hAnsi="Arial" w:cs="Arial"/>
                <w:b/>
                <w:noProof/>
                <w:sz w:val="28"/>
                <w:szCs w:val="28"/>
                <w:lang w:val="en-IN" w:eastAsia="en-IN" w:bidi="ml-IN"/>
              </w:rPr>
              <w:drawing>
                <wp:inline distT="0" distB="0" distL="0" distR="0">
                  <wp:extent cx="1228725" cy="700633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703" cy="701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996" w:rsidRPr="00E458FC" w:rsidRDefault="00645996" w:rsidP="00645996">
            <w:pPr>
              <w:pStyle w:val="NoSpacing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458FC">
              <w:rPr>
                <w:rFonts w:ascii="Arial" w:hAnsi="Arial" w:cs="Arial"/>
                <w:b/>
                <w:sz w:val="26"/>
                <w:szCs w:val="26"/>
              </w:rPr>
              <w:t xml:space="preserve">INDIAN 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 xml:space="preserve">INSTITUTE 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 xml:space="preserve">OF 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SCIENCE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 xml:space="preserve"> EDUCATION 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AND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 xml:space="preserve"> RESEARCH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-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 xml:space="preserve"> THIRU</w:t>
            </w:r>
            <w:r w:rsidR="002806C1">
              <w:rPr>
                <w:rFonts w:ascii="Arial" w:hAnsi="Arial" w:cs="Arial"/>
                <w:b/>
                <w:sz w:val="26"/>
                <w:szCs w:val="26"/>
              </w:rPr>
              <w:t>V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ANANTHAPURAM</w:t>
            </w:r>
          </w:p>
          <w:p w:rsidR="00645996" w:rsidRPr="00E458FC" w:rsidRDefault="00645996" w:rsidP="00645996">
            <w:pPr>
              <w:pStyle w:val="NoSpacing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458FC">
              <w:rPr>
                <w:rFonts w:ascii="Arial" w:hAnsi="Arial" w:cs="Arial"/>
                <w:b/>
                <w:sz w:val="26"/>
                <w:szCs w:val="26"/>
              </w:rPr>
              <w:t>I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E458FC">
              <w:rPr>
                <w:rFonts w:ascii="Arial" w:hAnsi="Arial" w:cs="Arial"/>
                <w:b/>
                <w:sz w:val="26"/>
                <w:szCs w:val="26"/>
              </w:rPr>
              <w:t>I</w:t>
            </w:r>
            <w:proofErr w:type="spellEnd"/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S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E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R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T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V</w:t>
            </w:r>
            <w:r w:rsidR="00E458F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E458FC">
              <w:rPr>
                <w:rFonts w:ascii="Arial" w:hAnsi="Arial" w:cs="Arial"/>
                <w:b/>
                <w:sz w:val="26"/>
                <w:szCs w:val="26"/>
              </w:rPr>
              <w:t>M</w:t>
            </w:r>
          </w:p>
          <w:p w:rsidR="00645996" w:rsidRPr="000D7206" w:rsidRDefault="00645996" w:rsidP="00645996">
            <w:pPr>
              <w:pStyle w:val="NoSpacing"/>
              <w:jc w:val="center"/>
              <w:rPr>
                <w:rFonts w:ascii="Lucida Calligraphy" w:hAnsi="Lucida Calligraphy" w:cs="Arial"/>
              </w:rPr>
            </w:pPr>
            <w:r w:rsidRPr="000D7206">
              <w:rPr>
                <w:rFonts w:ascii="Lucida Calligraphy" w:hAnsi="Lucida Calligraphy" w:cs="Arial"/>
              </w:rPr>
              <w:t>(An Autonomous Institute under MHRD, Government of India)</w:t>
            </w:r>
          </w:p>
          <w:p w:rsidR="00645996" w:rsidRPr="00EB351A" w:rsidRDefault="000D7206" w:rsidP="00EB351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51A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>Computer Science &amp; Engineering Building, College of Engineering T</w:t>
            </w:r>
            <w:r w:rsidR="00EB351A" w:rsidRPr="00EB351A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>hiruvananthapuram</w:t>
            </w:r>
            <w:r w:rsidRPr="00EB351A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 xml:space="preserve"> Campus, Trivandrum-695016 Kerala, India.</w:t>
            </w:r>
            <w:r w:rsidRPr="00EB351A">
              <w:rPr>
                <w:rFonts w:ascii="Arial" w:hAnsi="Arial" w:cs="Arial"/>
                <w:color w:val="152A2F"/>
                <w:sz w:val="20"/>
                <w:szCs w:val="20"/>
              </w:rPr>
              <w:t xml:space="preserve"> </w:t>
            </w:r>
          </w:p>
        </w:tc>
      </w:tr>
      <w:tr w:rsidR="000D7206" w:rsidTr="00922A40">
        <w:trPr>
          <w:trHeight w:val="860"/>
        </w:trPr>
        <w:tc>
          <w:tcPr>
            <w:tcW w:w="149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2E21" w:rsidRDefault="00CC2E21" w:rsidP="0016327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3278" w:rsidRDefault="00163278" w:rsidP="0016327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Dated: </w:t>
            </w:r>
            <w:r w:rsidR="002806C1">
              <w:rPr>
                <w:rFonts w:ascii="Arial" w:hAnsi="Arial" w:cs="Arial"/>
                <w:sz w:val="20"/>
                <w:szCs w:val="20"/>
              </w:rPr>
              <w:t>06.08.2012</w:t>
            </w:r>
          </w:p>
          <w:p w:rsidR="00163278" w:rsidRDefault="00163278" w:rsidP="002362A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EE7">
              <w:rPr>
                <w:rFonts w:ascii="Arial" w:hAnsi="Arial" w:cs="Arial"/>
                <w:b/>
                <w:sz w:val="28"/>
                <w:szCs w:val="28"/>
                <w:u w:val="single"/>
              </w:rPr>
              <w:t>NOTICE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INVITING TENDER</w:t>
            </w:r>
          </w:p>
          <w:p w:rsidR="000D7206" w:rsidRPr="00645996" w:rsidRDefault="00163278" w:rsidP="0056360F">
            <w:pPr>
              <w:pStyle w:val="NoSpacing"/>
              <w:ind w:firstLine="7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63278">
              <w:rPr>
                <w:rFonts w:ascii="Arial" w:hAnsi="Arial" w:cs="Arial"/>
                <w:sz w:val="20"/>
                <w:szCs w:val="20"/>
              </w:rPr>
              <w:t>Sealed item rate tenders are invited from</w:t>
            </w:r>
            <w:r w:rsidR="0056360F">
              <w:rPr>
                <w:rFonts w:ascii="Arial" w:hAnsi="Arial" w:cs="Arial"/>
                <w:sz w:val="20"/>
                <w:szCs w:val="20"/>
              </w:rPr>
              <w:t xml:space="preserve"> ‘A’ Class licensed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 Contractors</w:t>
            </w:r>
            <w:r w:rsidR="00AE520D">
              <w:rPr>
                <w:rFonts w:ascii="Arial" w:hAnsi="Arial" w:cs="Arial"/>
                <w:sz w:val="20"/>
                <w:szCs w:val="20"/>
              </w:rPr>
              <w:t xml:space="preserve"> registered with</w:t>
            </w:r>
            <w:r w:rsidR="005636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3278">
              <w:rPr>
                <w:rFonts w:ascii="Arial" w:hAnsi="Arial" w:cs="Arial"/>
                <w:sz w:val="20"/>
                <w:szCs w:val="20"/>
              </w:rPr>
              <w:t>CPWD, MES, Railways, DOS and State PWD</w:t>
            </w:r>
            <w:r w:rsidR="0056360F">
              <w:rPr>
                <w:rFonts w:ascii="Arial" w:hAnsi="Arial" w:cs="Arial"/>
                <w:sz w:val="20"/>
                <w:szCs w:val="20"/>
              </w:rPr>
              <w:t xml:space="preserve"> etc executed 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  similar </w:t>
            </w:r>
            <w:r w:rsidR="0056360F">
              <w:rPr>
                <w:rFonts w:ascii="Arial" w:hAnsi="Arial" w:cs="Arial"/>
                <w:sz w:val="20"/>
                <w:szCs w:val="20"/>
              </w:rPr>
              <w:t>nature of works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 for the following works to be </w:t>
            </w:r>
            <w:r w:rsidR="0056360F">
              <w:rPr>
                <w:rFonts w:ascii="Arial" w:hAnsi="Arial" w:cs="Arial"/>
                <w:sz w:val="20"/>
                <w:szCs w:val="20"/>
              </w:rPr>
              <w:t>executed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 at IISER</w:t>
            </w:r>
            <w:r>
              <w:rPr>
                <w:rFonts w:ascii="Arial" w:hAnsi="Arial" w:cs="Arial"/>
                <w:sz w:val="20"/>
                <w:szCs w:val="20"/>
              </w:rPr>
              <w:t>-TVM</w:t>
            </w:r>
            <w:r w:rsidR="0056360F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5CF">
              <w:rPr>
                <w:rFonts w:ascii="Arial" w:hAnsi="Arial" w:cs="Arial"/>
                <w:sz w:val="20"/>
                <w:szCs w:val="20"/>
              </w:rPr>
              <w:t>CET Campus, Thiruvananthapuram</w:t>
            </w:r>
            <w:r>
              <w:rPr>
                <w:rFonts w:ascii="Arial" w:hAnsi="Arial" w:cs="Arial"/>
                <w:sz w:val="20"/>
                <w:szCs w:val="20"/>
              </w:rPr>
              <w:t xml:space="preserve"> - 695 016</w:t>
            </w:r>
            <w:r w:rsidRPr="009525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62A7" w:rsidTr="00922A40">
        <w:trPr>
          <w:trHeight w:val="339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NIT No. &amp; Name of Work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PAC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EMD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 of 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Completion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Cost of Tender Documents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(Non-refundable)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Sale Period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Due time &amp; date of</w:t>
            </w:r>
          </w:p>
        </w:tc>
      </w:tr>
      <w:tr w:rsidR="000A37C7" w:rsidTr="00922A40">
        <w:trPr>
          <w:trHeight w:val="236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20087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Receipt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Opening</w:t>
            </w:r>
          </w:p>
        </w:tc>
      </w:tr>
      <w:tr w:rsidR="002362A7" w:rsidTr="00922A40">
        <w:trPr>
          <w:trHeight w:val="828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88" w:rsidRDefault="00453C88" w:rsidP="00CC2E2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14066C" w:rsidRPr="00453C88" w:rsidRDefault="002806C1" w:rsidP="00F4641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IISER-T/W-02(E)/12-13</w:t>
            </w:r>
          </w:p>
          <w:p w:rsidR="00453C88" w:rsidRDefault="0042249A" w:rsidP="00F4641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 the</w:t>
            </w:r>
            <w:r w:rsidR="002806C1">
              <w:rPr>
                <w:rFonts w:ascii="Arial" w:hAnsi="Arial" w:cs="Arial"/>
                <w:sz w:val="20"/>
                <w:szCs w:val="20"/>
              </w:rPr>
              <w:t xml:space="preserve"> clock operation of DG set</w:t>
            </w:r>
            <w:r w:rsidR="00922A40">
              <w:rPr>
                <w:rFonts w:ascii="Arial" w:hAnsi="Arial" w:cs="Arial"/>
                <w:sz w:val="20"/>
                <w:szCs w:val="20"/>
              </w:rPr>
              <w:t>s</w:t>
            </w:r>
            <w:r w:rsidR="00F4641E">
              <w:rPr>
                <w:rFonts w:ascii="Arial" w:hAnsi="Arial" w:cs="Arial"/>
                <w:sz w:val="20"/>
                <w:szCs w:val="20"/>
              </w:rPr>
              <w:t xml:space="preserve"> and associated electrical </w:t>
            </w:r>
            <w:r>
              <w:rPr>
                <w:rFonts w:ascii="Arial" w:hAnsi="Arial" w:cs="Arial"/>
                <w:sz w:val="20"/>
                <w:szCs w:val="20"/>
              </w:rPr>
              <w:t>works at</w:t>
            </w:r>
            <w:r w:rsidR="002806C1">
              <w:rPr>
                <w:rFonts w:ascii="Arial" w:hAnsi="Arial" w:cs="Arial"/>
                <w:sz w:val="20"/>
                <w:szCs w:val="20"/>
              </w:rPr>
              <w:t xml:space="preserve"> IISER-TVM </w:t>
            </w:r>
            <w:r w:rsidR="00476575">
              <w:rPr>
                <w:rFonts w:ascii="Arial" w:hAnsi="Arial" w:cs="Arial"/>
                <w:sz w:val="20"/>
                <w:szCs w:val="20"/>
              </w:rPr>
              <w:t xml:space="preserve">CET </w:t>
            </w:r>
            <w:r w:rsidR="002806C1">
              <w:rPr>
                <w:rFonts w:ascii="Arial" w:hAnsi="Arial" w:cs="Arial"/>
                <w:sz w:val="20"/>
                <w:szCs w:val="20"/>
              </w:rPr>
              <w:t>campus Trivandrum</w:t>
            </w:r>
            <w:r w:rsidR="00F464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2E21" w:rsidRPr="00CC2E21" w:rsidRDefault="00CC2E21" w:rsidP="00CC2E21">
            <w:pPr>
              <w:pStyle w:val="NoSpacing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73" w:rsidRDefault="0014066C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Rupee Foradian" w:hAnsi="Rupee Foradian" w:cs="Arial"/>
              </w:rPr>
              <w:t>`</w:t>
            </w:r>
            <w:r w:rsidR="008408BF">
              <w:rPr>
                <w:rFonts w:ascii="Arial" w:hAnsi="Arial" w:cs="Arial"/>
                <w:sz w:val="20"/>
                <w:szCs w:val="20"/>
              </w:rPr>
              <w:t>4.82</w:t>
            </w:r>
          </w:p>
          <w:p w:rsidR="0014066C" w:rsidRPr="0014066C" w:rsidRDefault="00794573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Lakhs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14066C" w:rsidRDefault="0014066C" w:rsidP="008408B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Rupee Foradian" w:hAnsi="Rupee Foradian" w:cs="Arial"/>
              </w:rPr>
              <w:t>`</w:t>
            </w:r>
            <w:r w:rsidR="008408BF">
              <w:rPr>
                <w:rFonts w:ascii="Arial" w:hAnsi="Arial" w:cs="Arial"/>
                <w:sz w:val="20"/>
                <w:szCs w:val="20"/>
              </w:rPr>
              <w:t>12,000.00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14066C" w:rsidRDefault="008408BF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14066C" w:rsidRDefault="0014066C" w:rsidP="002008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Rupee Foradian" w:hAnsi="Rupee Foradian" w:cs="Arial"/>
              </w:rPr>
              <w:t>`</w:t>
            </w:r>
            <w:r w:rsidR="00787A85">
              <w:rPr>
                <w:rFonts w:ascii="Arial" w:hAnsi="Arial" w:cs="Arial"/>
                <w:sz w:val="20"/>
                <w:szCs w:val="20"/>
              </w:rPr>
              <w:t>5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00 + </w:t>
            </w:r>
            <w:r w:rsidRPr="0014066C">
              <w:rPr>
                <w:rFonts w:ascii="Rupee Foradian" w:hAnsi="Rupee Foradian" w:cs="Arial"/>
              </w:rPr>
              <w:t>`</w:t>
            </w:r>
            <w:r w:rsidR="00787A85">
              <w:rPr>
                <w:rFonts w:ascii="Arial" w:hAnsi="Arial" w:cs="Arial"/>
                <w:sz w:val="20"/>
                <w:szCs w:val="20"/>
              </w:rPr>
              <w:t>2</w:t>
            </w:r>
            <w:r w:rsidRPr="0014066C">
              <w:rPr>
                <w:rFonts w:ascii="Arial" w:hAnsi="Arial" w:cs="Arial"/>
                <w:sz w:val="20"/>
                <w:szCs w:val="20"/>
              </w:rPr>
              <w:t>0(VAT)</w:t>
            </w:r>
          </w:p>
          <w:p w:rsidR="0014066C" w:rsidRPr="0014066C" w:rsidRDefault="0014066C" w:rsidP="00CC2E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14066C">
              <w:rPr>
                <w:rFonts w:ascii="Rupee Foradian" w:hAnsi="Rupee Foradian" w:cs="Arial"/>
                <w:b/>
                <w:bCs/>
              </w:rPr>
              <w:t>`</w:t>
            </w:r>
            <w:r w:rsidR="00787A85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Pr="0014066C"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14066C" w:rsidRDefault="008408BF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A37C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4066C" w:rsidRPr="0014066C">
              <w:rPr>
                <w:rFonts w:ascii="Arial" w:hAnsi="Arial" w:cs="Arial"/>
                <w:sz w:val="20"/>
                <w:szCs w:val="20"/>
              </w:rPr>
              <w:t>.</w:t>
            </w:r>
            <w:r w:rsidR="00453C88">
              <w:rPr>
                <w:rFonts w:ascii="Arial" w:hAnsi="Arial" w:cs="Arial"/>
                <w:sz w:val="20"/>
                <w:szCs w:val="20"/>
              </w:rPr>
              <w:t>2</w:t>
            </w:r>
            <w:r w:rsidR="000A37C7">
              <w:rPr>
                <w:rFonts w:ascii="Arial" w:hAnsi="Arial" w:cs="Arial"/>
                <w:sz w:val="20"/>
                <w:szCs w:val="20"/>
              </w:rPr>
              <w:t>0</w:t>
            </w:r>
            <w:r w:rsidR="00453C8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4066C" w:rsidRPr="0014066C" w:rsidRDefault="0014066C" w:rsidP="002008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14066C" w:rsidRPr="0014066C" w:rsidRDefault="008408BF" w:rsidP="008408B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53C88">
              <w:rPr>
                <w:rFonts w:ascii="Arial" w:hAnsi="Arial" w:cs="Arial"/>
                <w:sz w:val="20"/>
                <w:szCs w:val="20"/>
              </w:rPr>
              <w:t>.</w:t>
            </w:r>
            <w:r w:rsidR="0014066C" w:rsidRPr="0014066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4066C" w:rsidRPr="0014066C">
              <w:rPr>
                <w:rFonts w:ascii="Arial" w:hAnsi="Arial" w:cs="Arial"/>
                <w:sz w:val="20"/>
                <w:szCs w:val="20"/>
              </w:rPr>
              <w:t>.</w:t>
            </w:r>
            <w:r w:rsidR="00453C8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14066C" w:rsidRDefault="00453C88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  <w:r w:rsidR="0014066C" w:rsidRPr="0014066C">
              <w:rPr>
                <w:rFonts w:ascii="Arial" w:hAnsi="Arial" w:cs="Arial"/>
                <w:sz w:val="20"/>
                <w:szCs w:val="20"/>
              </w:rPr>
              <w:t>0 Hrs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>On</w:t>
            </w:r>
          </w:p>
          <w:p w:rsidR="0014066C" w:rsidRPr="0014066C" w:rsidRDefault="008408BF" w:rsidP="008408B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</w:t>
            </w:r>
            <w:r w:rsidR="00453C88">
              <w:rPr>
                <w:rFonts w:ascii="Arial" w:hAnsi="Arial" w:cs="Arial"/>
                <w:sz w:val="20"/>
                <w:szCs w:val="20"/>
              </w:rPr>
              <w:t>.2</w:t>
            </w:r>
            <w:r w:rsidR="000A37C7">
              <w:rPr>
                <w:rFonts w:ascii="Arial" w:hAnsi="Arial" w:cs="Arial"/>
                <w:sz w:val="20"/>
                <w:szCs w:val="20"/>
              </w:rPr>
              <w:t>0</w:t>
            </w:r>
            <w:r w:rsidR="00453C8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14066C" w:rsidRDefault="00453C88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4066C" w:rsidRPr="0014066C">
              <w:rPr>
                <w:rFonts w:ascii="Arial" w:hAnsi="Arial" w:cs="Arial"/>
                <w:sz w:val="20"/>
                <w:szCs w:val="20"/>
              </w:rPr>
              <w:t>.00 Hrs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>On</w:t>
            </w:r>
          </w:p>
          <w:p w:rsidR="0014066C" w:rsidRPr="0014066C" w:rsidRDefault="008408BF" w:rsidP="001632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</w:t>
            </w:r>
            <w:r w:rsidR="00453C88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436D8" w:rsidTr="00922A40">
        <w:trPr>
          <w:trHeight w:val="828"/>
        </w:trPr>
        <w:tc>
          <w:tcPr>
            <w:tcW w:w="1499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6D8" w:rsidRDefault="003436D8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5CF">
              <w:rPr>
                <w:rFonts w:ascii="Arial" w:hAnsi="Arial" w:cs="Arial"/>
                <w:sz w:val="20"/>
                <w:szCs w:val="20"/>
              </w:rPr>
              <w:t xml:space="preserve">Notes: </w:t>
            </w:r>
          </w:p>
          <w:p w:rsidR="003436D8" w:rsidRPr="000A37C7" w:rsidRDefault="003436D8" w:rsidP="003436D8">
            <w:pPr>
              <w:pStyle w:val="NoSpacing"/>
              <w:numPr>
                <w:ilvl w:val="0"/>
                <w:numId w:val="4"/>
              </w:numPr>
              <w:ind w:left="85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7C7">
              <w:rPr>
                <w:rFonts w:ascii="Arial" w:hAnsi="Arial" w:cs="Arial"/>
                <w:sz w:val="20"/>
                <w:szCs w:val="20"/>
              </w:rPr>
              <w:t>Contractors / agencies who have executed works of similar nature and magnitude only shall apply.  They should furnish the details of similar works executed by them during the last three years.</w:t>
            </w:r>
          </w:p>
          <w:p w:rsidR="000A37C7" w:rsidRPr="000A37C7" w:rsidRDefault="000A37C7" w:rsidP="000A37C7">
            <w:pPr>
              <w:pStyle w:val="NoSpacing"/>
              <w:ind w:left="85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436D8" w:rsidRDefault="003436D8" w:rsidP="003436D8">
            <w:pPr>
              <w:pStyle w:val="NoSpacing"/>
              <w:numPr>
                <w:ilvl w:val="0"/>
                <w:numId w:val="4"/>
              </w:numPr>
              <w:ind w:left="85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>Tender documents can be had on written request on any working day from</w:t>
            </w:r>
            <w:r w:rsidR="007170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8BF">
              <w:rPr>
                <w:rFonts w:ascii="Arial" w:hAnsi="Arial" w:cs="Arial"/>
                <w:sz w:val="20"/>
                <w:szCs w:val="20"/>
              </w:rPr>
              <w:t>10.08.2012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8408BF">
              <w:rPr>
                <w:rFonts w:ascii="Arial" w:hAnsi="Arial" w:cs="Arial"/>
                <w:sz w:val="20"/>
                <w:szCs w:val="20"/>
              </w:rPr>
              <w:t>20.08.2012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 on payment of cost of Tender document in cash from Project Office, IISER-TVM, P</w:t>
            </w:r>
            <w:r>
              <w:rPr>
                <w:rFonts w:ascii="Arial" w:hAnsi="Arial" w:cs="Arial"/>
                <w:sz w:val="20"/>
                <w:szCs w:val="20"/>
              </w:rPr>
              <w:t>uravady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 House, TVRA-52, </w:t>
            </w:r>
            <w:r>
              <w:rPr>
                <w:rFonts w:ascii="Arial" w:hAnsi="Arial" w:cs="Arial"/>
                <w:sz w:val="20"/>
                <w:szCs w:val="20"/>
              </w:rPr>
              <w:t>TC.4/1725/2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, Engineering College P.O., </w:t>
            </w:r>
            <w:proofErr w:type="gramStart"/>
            <w:r w:rsidRPr="0014066C">
              <w:rPr>
                <w:rFonts w:ascii="Arial" w:hAnsi="Arial" w:cs="Arial"/>
                <w:sz w:val="20"/>
                <w:szCs w:val="20"/>
              </w:rPr>
              <w:t>Thiruvananthapuram</w:t>
            </w:r>
            <w:proofErr w:type="gramEnd"/>
            <w:r w:rsidRPr="0014066C">
              <w:rPr>
                <w:rFonts w:ascii="Arial" w:hAnsi="Arial" w:cs="Arial"/>
                <w:sz w:val="20"/>
                <w:szCs w:val="20"/>
              </w:rPr>
              <w:t xml:space="preserve"> – 16.  Tender documents can also be obtained by post by remitting the cost by DD drawn in favour of IISER, Thiruvananthapuram payable at Thiruvananthapuram together with Rs. 100/- towards postal charges. IISER -TVM will not be responsible for any delay during Postal Transit.</w:t>
            </w:r>
          </w:p>
          <w:p w:rsidR="003436D8" w:rsidRPr="000A37C7" w:rsidRDefault="003436D8" w:rsidP="003436D8">
            <w:pPr>
              <w:pStyle w:val="NoSpacing"/>
              <w:ind w:left="85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436D8" w:rsidRDefault="003436D8" w:rsidP="003436D8">
            <w:pPr>
              <w:pStyle w:val="NoSpacing"/>
              <w:numPr>
                <w:ilvl w:val="0"/>
                <w:numId w:val="4"/>
              </w:numPr>
              <w:ind w:left="85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B82">
              <w:rPr>
                <w:rFonts w:ascii="Arial" w:hAnsi="Arial" w:cs="Arial"/>
                <w:sz w:val="20"/>
                <w:szCs w:val="20"/>
              </w:rPr>
              <w:t>EMD should be enclosed with Tender, as Demand Draft of any Nationalized Bank obtained in favour of IISER, Thiruvananthapuram payable at Thiruvananthapuram. Tenders without E</w:t>
            </w:r>
            <w:r>
              <w:rPr>
                <w:rFonts w:ascii="Arial" w:hAnsi="Arial" w:cs="Arial"/>
                <w:sz w:val="20"/>
                <w:szCs w:val="20"/>
              </w:rPr>
              <w:t>MD will be summarily rejected.</w:t>
            </w:r>
          </w:p>
          <w:p w:rsidR="003436D8" w:rsidRPr="000A37C7" w:rsidRDefault="003436D8" w:rsidP="003436D8">
            <w:pPr>
              <w:pStyle w:val="NoSpacing"/>
              <w:ind w:left="85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436D8" w:rsidRDefault="003436D8" w:rsidP="003436D8">
            <w:pPr>
              <w:pStyle w:val="NoSpacing"/>
              <w:numPr>
                <w:ilvl w:val="0"/>
                <w:numId w:val="4"/>
              </w:numPr>
              <w:ind w:left="85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B82">
              <w:rPr>
                <w:rFonts w:ascii="Arial" w:hAnsi="Arial" w:cs="Arial"/>
                <w:sz w:val="20"/>
                <w:szCs w:val="20"/>
              </w:rPr>
              <w:t>Registrar, IISER-TVM, reserves the right to reject any or all Tenders or to allot part of work to different agencies without assigning any reason thereof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36D8" w:rsidRPr="000A37C7" w:rsidRDefault="003436D8" w:rsidP="003436D8">
            <w:pPr>
              <w:pStyle w:val="NoSpacing"/>
              <w:ind w:left="85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436D8" w:rsidRPr="0014066C" w:rsidRDefault="003436D8" w:rsidP="003436D8">
            <w:pPr>
              <w:pStyle w:val="NoSpacing"/>
              <w:numPr>
                <w:ilvl w:val="0"/>
                <w:numId w:val="4"/>
              </w:numPr>
              <w:ind w:left="85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>Further details can be had from the Office of the Registrar, IISER-TVM.</w:t>
            </w:r>
          </w:p>
          <w:p w:rsidR="003436D8" w:rsidRDefault="003436D8" w:rsidP="003436D8">
            <w:pPr>
              <w:jc w:val="right"/>
              <w:rPr>
                <w:rFonts w:ascii="Arial" w:hAnsi="Arial" w:cs="Arial"/>
                <w:b/>
              </w:rPr>
            </w:pPr>
          </w:p>
          <w:p w:rsidR="002362A7" w:rsidRDefault="002362A7" w:rsidP="003436D8">
            <w:pPr>
              <w:jc w:val="right"/>
              <w:rPr>
                <w:rFonts w:ascii="Arial" w:hAnsi="Arial" w:cs="Arial"/>
                <w:b/>
              </w:rPr>
            </w:pPr>
          </w:p>
          <w:p w:rsidR="003436D8" w:rsidRPr="0014066C" w:rsidRDefault="003436D8" w:rsidP="003436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Registrar</w:t>
            </w:r>
          </w:p>
        </w:tc>
      </w:tr>
      <w:tr w:rsidR="003436D8" w:rsidTr="00922A40">
        <w:trPr>
          <w:trHeight w:val="1151"/>
        </w:trPr>
        <w:tc>
          <w:tcPr>
            <w:tcW w:w="6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6D8" w:rsidRPr="003436D8" w:rsidRDefault="003436D8" w:rsidP="003436D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436D8">
              <w:rPr>
                <w:rFonts w:ascii="Arial" w:hAnsi="Arial" w:cs="Arial"/>
                <w:bCs/>
                <w:sz w:val="20"/>
                <w:szCs w:val="20"/>
              </w:rPr>
              <w:t>Notice Board IISER-TVM.</w:t>
            </w:r>
          </w:p>
          <w:p w:rsidR="003436D8" w:rsidRPr="003436D8" w:rsidRDefault="003436D8" w:rsidP="003436D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436D8">
              <w:rPr>
                <w:rFonts w:ascii="Arial" w:hAnsi="Arial" w:cs="Arial"/>
                <w:bCs/>
                <w:sz w:val="20"/>
                <w:szCs w:val="20"/>
              </w:rPr>
              <w:t>The Principal, CET-TVM.</w:t>
            </w:r>
          </w:p>
          <w:p w:rsidR="003436D8" w:rsidRPr="003436D8" w:rsidRDefault="003436D8" w:rsidP="003436D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436D8">
              <w:rPr>
                <w:rFonts w:ascii="Arial" w:hAnsi="Arial" w:cs="Arial"/>
                <w:bCs/>
                <w:sz w:val="20"/>
                <w:szCs w:val="20"/>
              </w:rPr>
              <w:t>Group Head, CMG, VSSC-TVM-22.</w:t>
            </w:r>
          </w:p>
          <w:p w:rsidR="003436D8" w:rsidRPr="003436D8" w:rsidRDefault="003436D8" w:rsidP="003436D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436D8">
              <w:rPr>
                <w:rFonts w:ascii="Arial" w:hAnsi="Arial" w:cs="Arial"/>
                <w:bCs/>
                <w:sz w:val="20"/>
                <w:szCs w:val="20"/>
              </w:rPr>
              <w:t>The Secretary, Zonal Office, Tvpm Corporation, Kulathoor P O, TVM.</w:t>
            </w:r>
          </w:p>
          <w:p w:rsidR="003436D8" w:rsidRPr="00922A40" w:rsidRDefault="003436D8" w:rsidP="003436D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436D8">
              <w:rPr>
                <w:rFonts w:ascii="Arial" w:hAnsi="Arial" w:cs="Arial"/>
                <w:bCs/>
                <w:sz w:val="20"/>
                <w:szCs w:val="20"/>
              </w:rPr>
              <w:t>Asst. Ex. Engineer (Civil), PWD, PMG, TVM.</w:t>
            </w:r>
          </w:p>
          <w:p w:rsidR="00922A40" w:rsidRPr="009525CF" w:rsidRDefault="00922A40" w:rsidP="003436D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Consultant (F&amp;A), IISER-TVM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6D8" w:rsidRPr="002362A7" w:rsidRDefault="003436D8" w:rsidP="003436D8">
            <w:pPr>
              <w:pStyle w:val="ListParagraph"/>
              <w:ind w:left="-211"/>
              <w:jc w:val="both"/>
              <w:rPr>
                <w:rFonts w:ascii="Castellar" w:hAnsi="Castellar" w:cs="Arial"/>
                <w:sz w:val="120"/>
                <w:szCs w:val="120"/>
              </w:rPr>
            </w:pPr>
            <w:r w:rsidRPr="002362A7">
              <w:rPr>
                <w:rFonts w:ascii="Castellar" w:hAnsi="Castellar" w:cs="Arial"/>
                <w:sz w:val="120"/>
                <w:szCs w:val="120"/>
              </w:rPr>
              <w:t>}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6D8" w:rsidRPr="009525CF" w:rsidRDefault="003436D8" w:rsidP="003436D8">
            <w:pPr>
              <w:pStyle w:val="ListParagraph"/>
              <w:ind w:left="-38"/>
              <w:rPr>
                <w:rFonts w:ascii="Arial" w:hAnsi="Arial" w:cs="Arial"/>
                <w:sz w:val="20"/>
                <w:szCs w:val="20"/>
              </w:rPr>
            </w:pPr>
            <w:r w:rsidRPr="003436D8">
              <w:rPr>
                <w:rFonts w:ascii="Arial" w:hAnsi="Arial" w:cs="Arial"/>
                <w:sz w:val="20"/>
                <w:szCs w:val="20"/>
              </w:rPr>
              <w:t>with a request to kindly display this notice in their Office notice boards</w:t>
            </w:r>
          </w:p>
        </w:tc>
      </w:tr>
    </w:tbl>
    <w:p w:rsidR="003436D8" w:rsidRPr="003436D8" w:rsidRDefault="003436D8" w:rsidP="003436D8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3436D8" w:rsidRPr="003436D8" w:rsidSect="00282D07">
      <w:pgSz w:w="16839" w:h="11907" w:orient="landscape" w:code="9"/>
      <w:pgMar w:top="851" w:right="851" w:bottom="1135" w:left="851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0F" w:rsidRDefault="0015440F" w:rsidP="00FE6D66">
      <w:pPr>
        <w:spacing w:after="0" w:line="240" w:lineRule="auto"/>
      </w:pPr>
      <w:r>
        <w:separator/>
      </w:r>
    </w:p>
  </w:endnote>
  <w:endnote w:type="continuationSeparator" w:id="0">
    <w:p w:rsidR="0015440F" w:rsidRDefault="0015440F" w:rsidP="00FE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0F" w:rsidRDefault="0015440F" w:rsidP="00FE6D66">
      <w:pPr>
        <w:spacing w:after="0" w:line="240" w:lineRule="auto"/>
      </w:pPr>
      <w:r>
        <w:separator/>
      </w:r>
    </w:p>
  </w:footnote>
  <w:footnote w:type="continuationSeparator" w:id="0">
    <w:p w:rsidR="0015440F" w:rsidRDefault="0015440F" w:rsidP="00FE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2A5B"/>
    <w:multiLevelType w:val="hybridMultilevel"/>
    <w:tmpl w:val="3E9A19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0636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A5DF8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B2BB6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770F76"/>
    <w:multiLevelType w:val="hybridMultilevel"/>
    <w:tmpl w:val="504E52D4"/>
    <w:lvl w:ilvl="0" w:tplc="EB10765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72795AAD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A83F97"/>
    <w:rsid w:val="000220CA"/>
    <w:rsid w:val="00052385"/>
    <w:rsid w:val="00057B82"/>
    <w:rsid w:val="00087B4A"/>
    <w:rsid w:val="00095679"/>
    <w:rsid w:val="000A37C7"/>
    <w:rsid w:val="000D677D"/>
    <w:rsid w:val="000D7206"/>
    <w:rsid w:val="000F27E6"/>
    <w:rsid w:val="00100A31"/>
    <w:rsid w:val="00104120"/>
    <w:rsid w:val="0014066C"/>
    <w:rsid w:val="0014504B"/>
    <w:rsid w:val="0015440F"/>
    <w:rsid w:val="00163278"/>
    <w:rsid w:val="00166743"/>
    <w:rsid w:val="001D118C"/>
    <w:rsid w:val="00200877"/>
    <w:rsid w:val="0020656E"/>
    <w:rsid w:val="002362A7"/>
    <w:rsid w:val="00253B31"/>
    <w:rsid w:val="002806C1"/>
    <w:rsid w:val="00282D07"/>
    <w:rsid w:val="00290EC6"/>
    <w:rsid w:val="0029530C"/>
    <w:rsid w:val="002A3E39"/>
    <w:rsid w:val="002B6325"/>
    <w:rsid w:val="002E7909"/>
    <w:rsid w:val="003436D8"/>
    <w:rsid w:val="00345687"/>
    <w:rsid w:val="00365CA2"/>
    <w:rsid w:val="003A1AB2"/>
    <w:rsid w:val="003C01FD"/>
    <w:rsid w:val="003D0BDF"/>
    <w:rsid w:val="003E6135"/>
    <w:rsid w:val="0042249A"/>
    <w:rsid w:val="00453C88"/>
    <w:rsid w:val="00476575"/>
    <w:rsid w:val="00511AEA"/>
    <w:rsid w:val="00526AFA"/>
    <w:rsid w:val="00557ED1"/>
    <w:rsid w:val="0056360F"/>
    <w:rsid w:val="00564DC4"/>
    <w:rsid w:val="005E5BB6"/>
    <w:rsid w:val="006219B9"/>
    <w:rsid w:val="00645996"/>
    <w:rsid w:val="00691337"/>
    <w:rsid w:val="006C2CF3"/>
    <w:rsid w:val="007150E8"/>
    <w:rsid w:val="00717025"/>
    <w:rsid w:val="0073622D"/>
    <w:rsid w:val="0074472F"/>
    <w:rsid w:val="00787A85"/>
    <w:rsid w:val="00794573"/>
    <w:rsid w:val="007C379E"/>
    <w:rsid w:val="007D0E1E"/>
    <w:rsid w:val="007D66BD"/>
    <w:rsid w:val="007E44D0"/>
    <w:rsid w:val="007F3FB1"/>
    <w:rsid w:val="00835427"/>
    <w:rsid w:val="008408BF"/>
    <w:rsid w:val="00857B2E"/>
    <w:rsid w:val="0087156F"/>
    <w:rsid w:val="0087219A"/>
    <w:rsid w:val="008C43CF"/>
    <w:rsid w:val="00922A40"/>
    <w:rsid w:val="009525CF"/>
    <w:rsid w:val="009A5697"/>
    <w:rsid w:val="009B7272"/>
    <w:rsid w:val="009C58B1"/>
    <w:rsid w:val="00A172BA"/>
    <w:rsid w:val="00A330CC"/>
    <w:rsid w:val="00A83F97"/>
    <w:rsid w:val="00A96FE4"/>
    <w:rsid w:val="00AA1AF1"/>
    <w:rsid w:val="00AC6964"/>
    <w:rsid w:val="00AE520D"/>
    <w:rsid w:val="00AE59C9"/>
    <w:rsid w:val="00B95BF7"/>
    <w:rsid w:val="00BF4F57"/>
    <w:rsid w:val="00C13980"/>
    <w:rsid w:val="00C2714E"/>
    <w:rsid w:val="00C90BE4"/>
    <w:rsid w:val="00C9211E"/>
    <w:rsid w:val="00CA3A3E"/>
    <w:rsid w:val="00CB1EAE"/>
    <w:rsid w:val="00CC2E21"/>
    <w:rsid w:val="00CC6428"/>
    <w:rsid w:val="00D45223"/>
    <w:rsid w:val="00D70792"/>
    <w:rsid w:val="00D7500D"/>
    <w:rsid w:val="00D9353C"/>
    <w:rsid w:val="00DE17EB"/>
    <w:rsid w:val="00E2616F"/>
    <w:rsid w:val="00E411D8"/>
    <w:rsid w:val="00E458FC"/>
    <w:rsid w:val="00E819E0"/>
    <w:rsid w:val="00EB351A"/>
    <w:rsid w:val="00ED00FE"/>
    <w:rsid w:val="00ED4728"/>
    <w:rsid w:val="00EE7B5F"/>
    <w:rsid w:val="00F3173D"/>
    <w:rsid w:val="00F4641E"/>
    <w:rsid w:val="00F57EE7"/>
    <w:rsid w:val="00F6361B"/>
    <w:rsid w:val="00F64F3B"/>
    <w:rsid w:val="00FC2B8F"/>
    <w:rsid w:val="00FD1EC8"/>
    <w:rsid w:val="00FD3415"/>
    <w:rsid w:val="00FE6D66"/>
    <w:rsid w:val="00FF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D6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7B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9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7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TRIVANDRUM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</dc:creator>
  <cp:lastModifiedBy>user1</cp:lastModifiedBy>
  <cp:revision>42</cp:revision>
  <cp:lastPrinted>2011-03-21T09:24:00Z</cp:lastPrinted>
  <dcterms:created xsi:type="dcterms:W3CDTF">2010-02-17T11:00:00Z</dcterms:created>
  <dcterms:modified xsi:type="dcterms:W3CDTF">2012-08-09T06:46:00Z</dcterms:modified>
</cp:coreProperties>
</file>